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Saharan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Edwards.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Inefficiencies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Eskom,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Eskom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monopoly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state-owned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Eskom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GDP,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bailouts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Eskom.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GDP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unemployment,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re-ignite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granularity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reiterated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Ramaphosa's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sluggish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apartheid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volatility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nineties.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apartheid.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subsidies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 Coronel: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 Edwards: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IMF.org.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@imf_podcast.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